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3A387">
      <w:pPr>
        <w:spacing w:line="280" w:lineRule="exact"/>
        <w:jc w:val="center"/>
        <w:rPr>
          <w:rFonts w:hint="default" w:eastAsiaTheme="minorEastAsia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《开放互动的世界》新授课  教学设计</w:t>
      </w:r>
    </w:p>
    <w:tbl>
      <w:tblPr>
        <w:tblStyle w:val="7"/>
        <w:tblpPr w:leftFromText="180" w:rightFromText="180" w:vertAnchor="page" w:horzAnchor="page" w:tblpX="560" w:tblpY="2008"/>
        <w:tblOverlap w:val="never"/>
        <w:tblW w:w="10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5575"/>
        <w:gridCol w:w="2220"/>
        <w:gridCol w:w="1620"/>
      </w:tblGrid>
      <w:tr w14:paraId="61450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553" w:type="dxa"/>
            <w:vAlign w:val="center"/>
          </w:tcPr>
          <w:p w14:paraId="4D3AFA0F">
            <w:pPr>
              <w:spacing w:line="280" w:lineRule="exact"/>
              <w:jc w:val="center"/>
              <w:rPr>
                <w:rFonts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  <w:t>课题</w:t>
            </w:r>
          </w:p>
        </w:tc>
        <w:tc>
          <w:tcPr>
            <w:tcW w:w="5575" w:type="dxa"/>
            <w:vAlign w:val="center"/>
          </w:tcPr>
          <w:p w14:paraId="687664B5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《开放互动的世界》</w:t>
            </w:r>
          </w:p>
        </w:tc>
        <w:tc>
          <w:tcPr>
            <w:tcW w:w="2220" w:type="dxa"/>
            <w:vAlign w:val="center"/>
          </w:tcPr>
          <w:p w14:paraId="77FC1B5A">
            <w:pPr>
              <w:spacing w:line="280" w:lineRule="exact"/>
              <w:jc w:val="center"/>
              <w:rPr>
                <w:rFonts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授课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  <w:t>老师</w:t>
            </w:r>
          </w:p>
        </w:tc>
        <w:tc>
          <w:tcPr>
            <w:tcW w:w="1620" w:type="dxa"/>
            <w:vAlign w:val="center"/>
          </w:tcPr>
          <w:p w14:paraId="58D4E82B">
            <w:pPr>
              <w:spacing w:line="280" w:lineRule="exact"/>
              <w:jc w:val="center"/>
              <w:rPr>
                <w:rFonts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张嘉诚</w:t>
            </w:r>
          </w:p>
        </w:tc>
      </w:tr>
      <w:tr w14:paraId="7EEC3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553" w:type="dxa"/>
            <w:vAlign w:val="center"/>
          </w:tcPr>
          <w:p w14:paraId="208C988D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授课学校</w:t>
            </w:r>
          </w:p>
        </w:tc>
        <w:tc>
          <w:tcPr>
            <w:tcW w:w="5575" w:type="dxa"/>
            <w:vAlign w:val="center"/>
          </w:tcPr>
          <w:p w14:paraId="20A4BA19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常州市新北区龙虎塘中学</w:t>
            </w:r>
          </w:p>
        </w:tc>
        <w:tc>
          <w:tcPr>
            <w:tcW w:w="2220" w:type="dxa"/>
            <w:vAlign w:val="center"/>
          </w:tcPr>
          <w:p w14:paraId="5F6B696C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授课时间</w:t>
            </w:r>
          </w:p>
        </w:tc>
        <w:tc>
          <w:tcPr>
            <w:tcW w:w="1620" w:type="dxa"/>
            <w:vAlign w:val="center"/>
          </w:tcPr>
          <w:p w14:paraId="025A3EF6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2024.11.29</w:t>
            </w:r>
          </w:p>
        </w:tc>
      </w:tr>
      <w:tr w14:paraId="6AB53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68" w:type="dxa"/>
            <w:gridSpan w:val="4"/>
          </w:tcPr>
          <w:p w14:paraId="5D2CB4E6">
            <w:pPr>
              <w:spacing w:line="280" w:lineRule="exact"/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课标要求：</w:t>
            </w:r>
          </w:p>
          <w:p w14:paraId="22EA169A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1.课程目标：能够以实现中华民族伟大复兴为己任，增强做中国人的志气、骨气、底气，不负时代，不负韶华，不负党和人民的殷切期望；关心时事，热爱和平，初步具有国际视野和人类命运共同体意识</w:t>
            </w:r>
          </w:p>
          <w:p w14:paraId="35462600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2.课程实施：坚持以评促学，倡导以评价促进学习的理念，关注学生真实发生的进步，捕捉、欣赏、尊重学生有创意的、独特的表现，并予以鼓励，不断加深学生的知行体验，引导学生发现自己的潜能，合理运用评价结果改进学习，知行合一。坚持以评促教，通过对学生的过程评价和学习结果反馈，促进教师反思并改进教学方式，使教能够更好地服务于学，努力实现“教—学—评”一致性。</w:t>
            </w:r>
          </w:p>
        </w:tc>
      </w:tr>
      <w:tr w14:paraId="52B66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968" w:type="dxa"/>
            <w:gridSpan w:val="4"/>
          </w:tcPr>
          <w:p w14:paraId="375B507C">
            <w:pPr>
              <w:spacing w:line="280" w:lineRule="exact"/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教学目标：</w:t>
            </w:r>
          </w:p>
          <w:p w14:paraId="711A1028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1.通过解读常州参与一带一路建设和新能源汽车出口情况，了解当今世界的主流特点和非主流现象，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能够理解经济全球化的表现，增强责任意识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增强政治认同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。</w:t>
            </w:r>
          </w:p>
          <w:p w14:paraId="6126C70B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2.通过解读中国参与全球化的发展表现、中国手机和新能源汽车国际化发展受阻，能够深刻理解到经济全球化的双重影响，学会正确看待和应对全球化，增强政治认同和责任意识。</w:t>
            </w:r>
          </w:p>
          <w:p w14:paraId="34574DB9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3.通过识别东亚文化游戏和辨析文化错误观点，了解世界文化多样性特征，知道文化多样性的价值，理解文化差异的原因，能够学会正确对待文化多样性，增强政治认同和文化自信。</w:t>
            </w:r>
          </w:p>
        </w:tc>
      </w:tr>
      <w:tr w14:paraId="4C447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0968" w:type="dxa"/>
            <w:gridSpan w:val="4"/>
          </w:tcPr>
          <w:p w14:paraId="565399BE">
            <w:pPr>
              <w:spacing w:line="280" w:lineRule="exac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教学重难点：</w:t>
            </w:r>
          </w:p>
          <w:p w14:paraId="03F36E70">
            <w:pPr>
              <w:spacing w:line="280" w:lineRule="exac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1.教学重点：经济全球化的双重影响，文化多样性</w:t>
            </w:r>
          </w:p>
          <w:p w14:paraId="7C3FFCB6">
            <w:pPr>
              <w:spacing w:line="280" w:lineRule="exac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2.教学难点：经济全球化的表现，文化差异的原因</w:t>
            </w:r>
          </w:p>
        </w:tc>
      </w:tr>
      <w:tr w14:paraId="17E4C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553" w:type="dxa"/>
            <w:vAlign w:val="center"/>
          </w:tcPr>
          <w:p w14:paraId="6BF367B3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教学环节</w:t>
            </w:r>
          </w:p>
        </w:tc>
        <w:tc>
          <w:tcPr>
            <w:tcW w:w="5575" w:type="dxa"/>
            <w:vAlign w:val="center"/>
          </w:tcPr>
          <w:p w14:paraId="6E73411F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教师活动</w:t>
            </w:r>
          </w:p>
        </w:tc>
        <w:tc>
          <w:tcPr>
            <w:tcW w:w="2220" w:type="dxa"/>
            <w:vAlign w:val="center"/>
          </w:tcPr>
          <w:p w14:paraId="21CA8571">
            <w:pPr>
              <w:spacing w:line="280" w:lineRule="exact"/>
              <w:jc w:val="center"/>
              <w:rPr>
                <w:rFonts w:ascii="黑体" w:hAnsi="黑体" w:eastAsia="黑体" w:cs="黑体"/>
                <w:b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学生活动</w:t>
            </w:r>
          </w:p>
        </w:tc>
        <w:tc>
          <w:tcPr>
            <w:tcW w:w="1620" w:type="dxa"/>
            <w:vAlign w:val="center"/>
          </w:tcPr>
          <w:p w14:paraId="214BB8F1">
            <w:pPr>
              <w:widowControl/>
              <w:spacing w:line="280" w:lineRule="exact"/>
              <w:jc w:val="center"/>
              <w:rPr>
                <w:rFonts w:hint="default" w:ascii="黑体" w:hAnsi="黑体" w:eastAsia="黑体" w:cs="黑体"/>
                <w:b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设计意图</w:t>
            </w:r>
          </w:p>
        </w:tc>
      </w:tr>
      <w:tr w14:paraId="1CC72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1553" w:type="dxa"/>
            <w:vAlign w:val="center"/>
          </w:tcPr>
          <w:p w14:paraId="4DB22D8E">
            <w:pPr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新课导入</w:t>
            </w:r>
          </w:p>
        </w:tc>
        <w:tc>
          <w:tcPr>
            <w:tcW w:w="5575" w:type="dxa"/>
            <w:vAlign w:val="center"/>
          </w:tcPr>
          <w:p w14:paraId="42C82299"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播放视频</w:t>
            </w:r>
          </w:p>
          <w:p w14:paraId="67107548">
            <w:pPr>
              <w:spacing w:line="280" w:lineRule="exact"/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《万亿之城再出发，与世界共享绿色机遇》</w:t>
            </w:r>
          </w:p>
        </w:tc>
        <w:tc>
          <w:tcPr>
            <w:tcW w:w="2220" w:type="dxa"/>
            <w:vAlign w:val="center"/>
          </w:tcPr>
          <w:p w14:paraId="0C2DABCE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20" w:type="dxa"/>
            <w:vMerge w:val="restart"/>
          </w:tcPr>
          <w:p w14:paraId="4AB8B696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23F38A4B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A38522F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2B632C8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4F7381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72AB7BE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6C0695A8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3F4550EF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6D2FA042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367FF5A2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选取常州本土资源，以小见大，让学生了解到经济全球化的三个特点。</w:t>
            </w:r>
          </w:p>
          <w:p w14:paraId="2283F5F2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64315A8A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62DD34B2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01127B98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C108ED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7545E6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F6495E3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A6B4D4E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C3FEA12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C0D2675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D6C136B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FB3DAA7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17C6E9D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17B75CB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59F614D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217628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3BADA08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FEA9A10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DAA8147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D05542E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 xml:space="preserve"> 响应近年来的重大热点时政，通过深入解读时政素材，分析经济全球化背景下生产者、消费者和国家都受到的影响。</w:t>
            </w:r>
          </w:p>
          <w:p w14:paraId="36156C2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29BD579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AA7EE48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AA049E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7344D32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2549DD69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0372F1C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437E52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3128E8C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21BDD1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C6E5A0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89CB01F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CBD9A13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AD6052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设置有趣的小游戏，让学生寓学于趣，感受到文化多样性的价值，同时也去深入探究文化差异背后的原因。</w:t>
            </w:r>
          </w:p>
          <w:p w14:paraId="6EBFF982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辨析面对文化多样性的不同错误观点，引导学生正确认识和对待多元文化和自身传统文化。</w:t>
            </w:r>
          </w:p>
          <w:p w14:paraId="6FFE2AAF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447F5D5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CDE246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B19BC3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2F7F390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34A11B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A0EBC38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37676DC0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3AEDB46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</w:tc>
      </w:tr>
      <w:tr w14:paraId="16660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4" w:hRule="atLeast"/>
        </w:trPr>
        <w:tc>
          <w:tcPr>
            <w:tcW w:w="1553" w:type="dxa"/>
            <w:vAlign w:val="center"/>
          </w:tcPr>
          <w:p w14:paraId="63F99198">
            <w:pPr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环节一：</w:t>
            </w:r>
          </w:p>
          <w:p w14:paraId="4B008A30">
            <w:pPr>
              <w:spacing w:line="28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融一带一路·</w:t>
            </w:r>
          </w:p>
          <w:p w14:paraId="5D180402">
            <w:pPr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建共同的家园</w:t>
            </w:r>
          </w:p>
        </w:tc>
        <w:tc>
          <w:tcPr>
            <w:tcW w:w="5575" w:type="dxa"/>
            <w:vAlign w:val="center"/>
          </w:tcPr>
          <w:p w14:paraId="6C1BF480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融入“一带一路”建设中的常州身影</w:t>
            </w:r>
          </w:p>
          <w:p w14:paraId="4079504E">
            <w:pPr>
              <w:spacing w:line="24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越来越多的进口食品出现在常州市民的超市里餐桌上，欧洲格鲁吉亚的葡萄酒、中亚哈萨克斯坦的面粉、南美阿根廷的车厘子，还有非洲南非的坚果；而越来越多的常州产品也正走出国门，新能源汽车远销海外，太阳能光伏电板出口欧洲···</w:t>
            </w:r>
          </w:p>
          <w:p w14:paraId="40458DED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【特点一】 封闭OR开放</w:t>
            </w:r>
          </w:p>
          <w:p w14:paraId="7375364E">
            <w:pPr>
              <w:spacing w:line="24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常州企业参与“一带一路”沿线国家建设，常州液压助力巴基斯坦卡洛特水电站建设，极大缓解当地百姓的缺电问题；常州戚墅堰中车助力肯尼亚蒙内铁路通车，极大缩短路程时间，改善了当地民众出行条件···</w:t>
            </w:r>
          </w:p>
          <w:p w14:paraId="7B6C031E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【特点二】落后OR发展</w:t>
            </w:r>
          </w:p>
          <w:p w14:paraId="410E8D0C">
            <w:pPr>
              <w:spacing w:line="24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通过建立贸易投资关系，加强基础设施建设，促进人文交流，“一带一路”实现了中国与沿线国家互利互惠、共同发展，推动中国与世界更紧密地联系在一起。</w:t>
            </w:r>
          </w:p>
          <w:p w14:paraId="1BF3763D">
            <w:pPr>
              <w:widowControl w:val="0"/>
              <w:numPr>
                <w:ilvl w:val="0"/>
                <w:numId w:val="0"/>
              </w:num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【特点三】孤立存在OR紧密联系</w:t>
            </w:r>
          </w:p>
        </w:tc>
        <w:tc>
          <w:tcPr>
            <w:tcW w:w="2220" w:type="dxa"/>
            <w:vAlign w:val="center"/>
          </w:tcPr>
          <w:p w14:paraId="30B7F44F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任务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根据材料，判断经济全球化的特点有哪些？</w:t>
            </w:r>
          </w:p>
        </w:tc>
        <w:tc>
          <w:tcPr>
            <w:tcW w:w="1620" w:type="dxa"/>
            <w:vMerge w:val="continue"/>
          </w:tcPr>
          <w:p w14:paraId="5AEFEA50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  <w:tr w14:paraId="24BFA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7" w:hRule="atLeast"/>
        </w:trPr>
        <w:tc>
          <w:tcPr>
            <w:tcW w:w="1553" w:type="dxa"/>
            <w:vAlign w:val="center"/>
          </w:tcPr>
          <w:p w14:paraId="3BF19624"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环节二：</w:t>
            </w:r>
          </w:p>
          <w:p w14:paraId="72F09E3B">
            <w:pPr>
              <w:spacing w:line="28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新能源之都·</w:t>
            </w:r>
          </w:p>
          <w:p w14:paraId="0D486991"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观经济全球化</w:t>
            </w:r>
          </w:p>
          <w:p w14:paraId="05A20653">
            <w:pPr>
              <w:spacing w:line="28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575" w:type="dxa"/>
            <w:vAlign w:val="center"/>
          </w:tcPr>
          <w:p w14:paraId="4338E079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建设新能源之都，迈向国际智造名城</w:t>
            </w:r>
          </w:p>
          <w:p w14:paraId="708B7902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比亚迪新能源汽车生产组装</w:t>
            </w:r>
          </w:p>
          <w:p w14:paraId="4CCF3D29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比亚迪新能源汽车对外贸易</w:t>
            </w:r>
          </w:p>
          <w:p w14:paraId="736AF6DE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4A58BEEE">
            <w:p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活动：模拟专家论证会</w:t>
            </w:r>
          </w:p>
          <w:p w14:paraId="520F6A93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解读新闻信息摘录，探究经济全球化利与弊</w:t>
            </w:r>
          </w:p>
          <w:p w14:paraId="3C226974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材料一：中国改革开放，融入经济全球化的发展表现</w:t>
            </w:r>
          </w:p>
          <w:p w14:paraId="3C96AB60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材料二：中国手机受到中美贸易战影响而被制裁打压</w:t>
            </w:r>
          </w:p>
          <w:p w14:paraId="70FA791B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材料三：新能源汽车远销欧洲却遭欧盟加征关税打压</w:t>
            </w:r>
          </w:p>
          <w:tbl>
            <w:tblPr>
              <w:tblStyle w:val="7"/>
              <w:tblW w:w="524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9"/>
              <w:gridCol w:w="590"/>
              <w:gridCol w:w="1388"/>
              <w:gridCol w:w="1499"/>
              <w:gridCol w:w="1294"/>
            </w:tblGrid>
            <w:tr w14:paraId="1A1F6E1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6" w:hRule="atLeast"/>
              </w:trPr>
              <w:tc>
                <w:tcPr>
                  <w:tcW w:w="5240" w:type="dxa"/>
                  <w:gridSpan w:val="5"/>
                  <w:noWrap w:val="0"/>
                  <w:vAlign w:val="center"/>
                </w:tcPr>
                <w:p w14:paraId="22030F94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经济全球化是一把双刃剑</w:t>
                  </w:r>
                </w:p>
              </w:tc>
            </w:tr>
            <w:tr w14:paraId="42B319A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</w:trPr>
              <w:tc>
                <w:tcPr>
                  <w:tcW w:w="469" w:type="dxa"/>
                  <w:noWrap w:val="0"/>
                  <w:vAlign w:val="center"/>
                </w:tcPr>
                <w:p w14:paraId="5E96B5D1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  <w:t>影响</w:t>
                  </w:r>
                </w:p>
              </w:tc>
              <w:tc>
                <w:tcPr>
                  <w:tcW w:w="590" w:type="dxa"/>
                  <w:noWrap w:val="0"/>
                  <w:vAlign w:val="center"/>
                </w:tcPr>
                <w:p w14:paraId="66A608D1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  <w:t>维度</w:t>
                  </w:r>
                </w:p>
              </w:tc>
              <w:tc>
                <w:tcPr>
                  <w:tcW w:w="1388" w:type="dxa"/>
                  <w:noWrap w:val="0"/>
                  <w:vAlign w:val="center"/>
                </w:tcPr>
                <w:p w14:paraId="6E36C171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  <w:t>生产者</w:t>
                  </w:r>
                </w:p>
              </w:tc>
              <w:tc>
                <w:tcPr>
                  <w:tcW w:w="1499" w:type="dxa"/>
                  <w:noWrap w:val="0"/>
                  <w:vAlign w:val="center"/>
                </w:tcPr>
                <w:p w14:paraId="52DC402A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  <w:t>消费者</w:t>
                  </w:r>
                </w:p>
              </w:tc>
              <w:tc>
                <w:tcPr>
                  <w:tcW w:w="1294" w:type="dxa"/>
                  <w:noWrap w:val="0"/>
                  <w:vAlign w:val="center"/>
                </w:tcPr>
                <w:p w14:paraId="6AFF7688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  <w:t>国家</w:t>
                  </w:r>
                </w:p>
              </w:tc>
            </w:tr>
            <w:tr w14:paraId="1E46A5B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</w:trPr>
              <w:tc>
                <w:tcPr>
                  <w:tcW w:w="469" w:type="dxa"/>
                  <w:vMerge w:val="restart"/>
                  <w:noWrap w:val="0"/>
                  <w:vAlign w:val="center"/>
                </w:tcPr>
                <w:p w14:paraId="2AA7810F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  <w:t>利</w:t>
                  </w:r>
                </w:p>
              </w:tc>
              <w:tc>
                <w:tcPr>
                  <w:tcW w:w="590" w:type="dxa"/>
                  <w:noWrap w:val="0"/>
                  <w:vAlign w:val="center"/>
                </w:tcPr>
                <w:p w14:paraId="0F720397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  <w:t>生产</w:t>
                  </w:r>
                </w:p>
              </w:tc>
              <w:tc>
                <w:tcPr>
                  <w:tcW w:w="1388" w:type="dxa"/>
                  <w:vMerge w:val="restart"/>
                  <w:noWrap w:val="0"/>
                  <w:vAlign w:val="top"/>
                </w:tcPr>
                <w:p w14:paraId="5D57FE7D">
                  <w:pPr>
                    <w:spacing w:line="280" w:lineRule="exact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99" w:type="dxa"/>
                  <w:vMerge w:val="restart"/>
                  <w:noWrap w:val="0"/>
                  <w:vAlign w:val="top"/>
                </w:tcPr>
                <w:p w14:paraId="29D212C3">
                  <w:pPr>
                    <w:spacing w:line="280" w:lineRule="exact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bidi="ar"/>
                    </w:rPr>
                  </w:pPr>
                </w:p>
              </w:tc>
              <w:tc>
                <w:tcPr>
                  <w:tcW w:w="1294" w:type="dxa"/>
                  <w:vMerge w:val="restart"/>
                  <w:noWrap w:val="0"/>
                  <w:vAlign w:val="top"/>
                </w:tcPr>
                <w:p w14:paraId="3C197697">
                  <w:pPr>
                    <w:spacing w:line="280" w:lineRule="exact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</w:t>
                  </w:r>
                </w:p>
              </w:tc>
            </w:tr>
            <w:tr w14:paraId="5357F33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</w:trPr>
              <w:tc>
                <w:tcPr>
                  <w:tcW w:w="469" w:type="dxa"/>
                  <w:vMerge w:val="continue"/>
                  <w:noWrap w:val="0"/>
                  <w:vAlign w:val="center"/>
                </w:tcPr>
                <w:p w14:paraId="7C2698DA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bidi="ar"/>
                    </w:rPr>
                  </w:pPr>
                </w:p>
              </w:tc>
              <w:tc>
                <w:tcPr>
                  <w:tcW w:w="590" w:type="dxa"/>
                  <w:noWrap w:val="0"/>
                  <w:vAlign w:val="center"/>
                </w:tcPr>
                <w:p w14:paraId="1A1A7380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  <w:t>贸易</w:t>
                  </w:r>
                </w:p>
              </w:tc>
              <w:tc>
                <w:tcPr>
                  <w:tcW w:w="1388" w:type="dxa"/>
                  <w:vMerge w:val="continue"/>
                  <w:noWrap w:val="0"/>
                  <w:vAlign w:val="top"/>
                </w:tcPr>
                <w:p w14:paraId="6507ED49">
                  <w:pPr>
                    <w:spacing w:line="280" w:lineRule="exact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bidi="ar"/>
                    </w:rPr>
                  </w:pPr>
                </w:p>
              </w:tc>
              <w:tc>
                <w:tcPr>
                  <w:tcW w:w="1499" w:type="dxa"/>
                  <w:vMerge w:val="continue"/>
                  <w:noWrap w:val="0"/>
                  <w:vAlign w:val="top"/>
                </w:tcPr>
                <w:p w14:paraId="037A3FF1">
                  <w:pPr>
                    <w:spacing w:line="280" w:lineRule="exact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bidi="ar"/>
                    </w:rPr>
                  </w:pPr>
                </w:p>
              </w:tc>
              <w:tc>
                <w:tcPr>
                  <w:tcW w:w="1294" w:type="dxa"/>
                  <w:vMerge w:val="continue"/>
                  <w:noWrap w:val="0"/>
                  <w:vAlign w:val="top"/>
                </w:tcPr>
                <w:p w14:paraId="74FA62CC">
                  <w:pPr>
                    <w:spacing w:line="280" w:lineRule="exact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bidi="ar"/>
                    </w:rPr>
                  </w:pPr>
                </w:p>
              </w:tc>
            </w:tr>
            <w:tr w14:paraId="3C5A96E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6" w:hRule="atLeast"/>
              </w:trPr>
              <w:tc>
                <w:tcPr>
                  <w:tcW w:w="469" w:type="dxa"/>
                  <w:noWrap w:val="0"/>
                  <w:vAlign w:val="center"/>
                </w:tcPr>
                <w:p w14:paraId="7EE3222E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590" w:type="dxa"/>
                  <w:noWrap w:val="0"/>
                  <w:vAlign w:val="center"/>
                </w:tcPr>
                <w:p w14:paraId="1A6A183C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88" w:type="dxa"/>
                  <w:noWrap w:val="0"/>
                  <w:vAlign w:val="top"/>
                </w:tcPr>
                <w:p w14:paraId="543A7070">
                  <w:pPr>
                    <w:spacing w:line="280" w:lineRule="exact"/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99" w:type="dxa"/>
                  <w:noWrap w:val="0"/>
                  <w:vAlign w:val="top"/>
                </w:tcPr>
                <w:p w14:paraId="5FB4D961">
                  <w:pPr>
                    <w:spacing w:line="280" w:lineRule="exact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94" w:type="dxa"/>
                  <w:noWrap w:val="0"/>
                  <w:vAlign w:val="top"/>
                </w:tcPr>
                <w:p w14:paraId="1CF9B8D0">
                  <w:pPr>
                    <w:spacing w:line="280" w:lineRule="exact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bidi="ar"/>
                    </w:rPr>
                  </w:pPr>
                </w:p>
              </w:tc>
            </w:tr>
            <w:tr w14:paraId="3666A6C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</w:trPr>
              <w:tc>
                <w:tcPr>
                  <w:tcW w:w="469" w:type="dxa"/>
                  <w:vMerge w:val="restart"/>
                  <w:noWrap w:val="0"/>
                  <w:vAlign w:val="center"/>
                </w:tcPr>
                <w:p w14:paraId="1BBCAB24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  <w:t>弊</w:t>
                  </w:r>
                </w:p>
              </w:tc>
              <w:tc>
                <w:tcPr>
                  <w:tcW w:w="590" w:type="dxa"/>
                  <w:noWrap w:val="0"/>
                  <w:vAlign w:val="center"/>
                </w:tcPr>
                <w:p w14:paraId="02056F55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  <w:t>生产</w:t>
                  </w:r>
                </w:p>
              </w:tc>
              <w:tc>
                <w:tcPr>
                  <w:tcW w:w="1388" w:type="dxa"/>
                  <w:vMerge w:val="restart"/>
                  <w:noWrap w:val="0"/>
                  <w:vAlign w:val="top"/>
                </w:tcPr>
                <w:p w14:paraId="4F0BB64D">
                  <w:pPr>
                    <w:spacing w:line="280" w:lineRule="exact"/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99" w:type="dxa"/>
                  <w:vMerge w:val="restart"/>
                  <w:noWrap w:val="0"/>
                  <w:vAlign w:val="top"/>
                </w:tcPr>
                <w:p w14:paraId="272C86F0">
                  <w:pPr>
                    <w:spacing w:line="280" w:lineRule="exact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94" w:type="dxa"/>
                  <w:vMerge w:val="restart"/>
                  <w:noWrap w:val="0"/>
                  <w:vAlign w:val="top"/>
                </w:tcPr>
                <w:p w14:paraId="185D5F71">
                  <w:pPr>
                    <w:spacing w:line="280" w:lineRule="exact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bidi="ar"/>
                    </w:rPr>
                  </w:pPr>
                </w:p>
              </w:tc>
            </w:tr>
            <w:tr w14:paraId="25E790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2" w:hRule="atLeast"/>
              </w:trPr>
              <w:tc>
                <w:tcPr>
                  <w:tcW w:w="469" w:type="dxa"/>
                  <w:vMerge w:val="continue"/>
                  <w:noWrap w:val="0"/>
                  <w:vAlign w:val="center"/>
                </w:tcPr>
                <w:p w14:paraId="13F28D68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bidi="ar"/>
                    </w:rPr>
                  </w:pPr>
                </w:p>
              </w:tc>
              <w:tc>
                <w:tcPr>
                  <w:tcW w:w="590" w:type="dxa"/>
                  <w:noWrap w:val="0"/>
                  <w:vAlign w:val="center"/>
                </w:tcPr>
                <w:p w14:paraId="60968182">
                  <w:pPr>
                    <w:spacing w:line="280" w:lineRule="exact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kern w:val="0"/>
                      <w:sz w:val="21"/>
                      <w:szCs w:val="21"/>
                      <w:vertAlign w:val="baseline"/>
                      <w:lang w:val="en-US" w:eastAsia="zh-CN" w:bidi="ar"/>
                    </w:rPr>
                    <w:t>贸易</w:t>
                  </w:r>
                </w:p>
              </w:tc>
              <w:tc>
                <w:tcPr>
                  <w:tcW w:w="1388" w:type="dxa"/>
                  <w:vMerge w:val="continue"/>
                  <w:noWrap w:val="0"/>
                  <w:vAlign w:val="top"/>
                </w:tcPr>
                <w:p w14:paraId="5D539E7A">
                  <w:pPr>
                    <w:spacing w:line="280" w:lineRule="exact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bidi="ar"/>
                    </w:rPr>
                  </w:pPr>
                </w:p>
              </w:tc>
              <w:tc>
                <w:tcPr>
                  <w:tcW w:w="1499" w:type="dxa"/>
                  <w:vMerge w:val="continue"/>
                  <w:noWrap w:val="0"/>
                  <w:vAlign w:val="top"/>
                </w:tcPr>
                <w:p w14:paraId="672A90D3">
                  <w:pPr>
                    <w:spacing w:line="280" w:lineRule="exact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bidi="ar"/>
                    </w:rPr>
                  </w:pPr>
                </w:p>
              </w:tc>
              <w:tc>
                <w:tcPr>
                  <w:tcW w:w="1294" w:type="dxa"/>
                  <w:vMerge w:val="continue"/>
                  <w:noWrap w:val="0"/>
                  <w:vAlign w:val="top"/>
                </w:tcPr>
                <w:p w14:paraId="21CBD19D">
                  <w:pPr>
                    <w:spacing w:line="280" w:lineRule="exact"/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1"/>
                      <w:szCs w:val="21"/>
                      <w:vertAlign w:val="baseline"/>
                      <w:lang w:bidi="ar"/>
                    </w:rPr>
                  </w:pPr>
                </w:p>
              </w:tc>
            </w:tr>
          </w:tbl>
          <w:p w14:paraId="41D63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 w14:paraId="352B45D2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【问题】结合材料，比亚迪汽车的生产和销售具有何种特点？</w:t>
            </w:r>
          </w:p>
          <w:p w14:paraId="2884B20C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7CAD9A53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40606BDD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53673B63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【小组合作】</w:t>
            </w:r>
          </w:p>
          <w:p w14:paraId="27EEA0DE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1.结合新闻材料，根据对应责任主体，讨论分析经济全球化的利与弊，1名记录员摘录要点，1名发言人发言交流。</w:t>
            </w:r>
          </w:p>
          <w:p w14:paraId="07102076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484BF6F9">
            <w:pPr>
              <w:spacing w:line="280" w:lineRule="exac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2.完成表格后，对比分析经济全球化利弊，得出何种结论？</w:t>
            </w:r>
          </w:p>
          <w:p w14:paraId="56E3EA29">
            <w:pPr>
              <w:spacing w:line="280" w:lineRule="exac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8F6815F">
            <w:pPr>
              <w:spacing w:line="280" w:lineRule="exac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C534BD4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20" w:type="dxa"/>
            <w:vMerge w:val="continue"/>
          </w:tcPr>
          <w:p w14:paraId="61034421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  <w:tr w14:paraId="7B5E8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6" w:hRule="atLeast"/>
        </w:trPr>
        <w:tc>
          <w:tcPr>
            <w:tcW w:w="1553" w:type="dxa"/>
            <w:vAlign w:val="center"/>
          </w:tcPr>
          <w:p w14:paraId="4092C7AE">
            <w:pPr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环节三：</w:t>
            </w:r>
          </w:p>
          <w:p w14:paraId="1E4AD14A">
            <w:pPr>
              <w:spacing w:line="28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汉江路街区·</w:t>
            </w:r>
          </w:p>
          <w:p w14:paraId="52510694">
            <w:pPr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聚文化多样性</w:t>
            </w:r>
          </w:p>
        </w:tc>
        <w:tc>
          <w:tcPr>
            <w:tcW w:w="5575" w:type="dxa"/>
            <w:vAlign w:val="center"/>
          </w:tcPr>
          <w:p w14:paraId="67BAE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活动：东亚文化节，猜一猜是哪国？</w:t>
            </w:r>
          </w:p>
          <w:p w14:paraId="75298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646A9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中日韩食物、中日韩服饰、中日韩音乐</w:t>
            </w:r>
          </w:p>
          <w:p w14:paraId="5D7AC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一花独放不是春，万花齐放春满园——重要价值</w:t>
            </w:r>
          </w:p>
          <w:p w14:paraId="2DA9B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7E2AA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知识链接：在日本文化中一直崇尚“物哀美学”价值，日本音乐受到民族文化影响，呈现出哀婉之意、凄美之感的特征。</w:t>
            </w:r>
          </w:p>
          <w:p w14:paraId="7C237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0128C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乱花渐欲迷人眼，文化丛中众生相——观点辨析</w:t>
            </w:r>
          </w:p>
          <w:p w14:paraId="7B26F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想法一：无法理解那些的奇怪外来文化，要坚决抵制一切外来文化，务必拒之国门外！</w:t>
            </w:r>
          </w:p>
          <w:p w14:paraId="73F9D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想法二：中华文化是最优秀文化，应该要让世界人民全部接受中华文化的熏陶！</w:t>
            </w:r>
          </w:p>
          <w:p w14:paraId="07E12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想法三：外国文化都是精华凝聚，中华文化全是糟粕堆积，我崇拜一切外来文化！</w:t>
            </w:r>
          </w:p>
          <w:p w14:paraId="4218E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3B0D45F2">
            <w:pPr>
              <w:tabs>
                <w:tab w:val="left" w:pos="2179"/>
              </w:tabs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文化花园不迷路，知行合一明方向——正确对待</w:t>
            </w:r>
          </w:p>
          <w:p w14:paraId="4BFEE6FF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20" w:type="dxa"/>
            <w:vAlign w:val="center"/>
          </w:tcPr>
          <w:p w14:paraId="4725D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【假设】世界文化大花园只有一种文化，会怎么样？</w:t>
            </w:r>
          </w:p>
          <w:p w14:paraId="136BA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【思考】听完音乐，你喜欢哪一首？不喜欢哪一首？简要说明理由。</w:t>
            </w:r>
          </w:p>
          <w:p w14:paraId="34682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7DB8B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【思考】为什么中国人无法接受日本古典音乐，而日本人却喜欢呢?</w:t>
            </w:r>
          </w:p>
          <w:p w14:paraId="47DB669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6BE3C1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68F5C41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  <w:p w14:paraId="3C715AD0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【思考】你如何看待这些想法？应该如何对待文化多样和文化差异？</w:t>
            </w:r>
          </w:p>
          <w:p w14:paraId="31EC6B84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20" w:type="dxa"/>
            <w:vMerge w:val="continue"/>
          </w:tcPr>
          <w:p w14:paraId="53786E19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  <w:tr w14:paraId="4DEC5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</w:trPr>
        <w:tc>
          <w:tcPr>
            <w:tcW w:w="1553" w:type="dxa"/>
            <w:vAlign w:val="center"/>
          </w:tcPr>
          <w:p w14:paraId="344750FC">
            <w:pPr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课后作业</w:t>
            </w:r>
          </w:p>
        </w:tc>
        <w:tc>
          <w:tcPr>
            <w:tcW w:w="7795" w:type="dxa"/>
            <w:gridSpan w:val="2"/>
            <w:vAlign w:val="center"/>
          </w:tcPr>
          <w:p w14:paraId="41A2C5B5">
            <w:pPr>
              <w:ind w:firstLine="420" w:firstLineChars="200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今天从经济角度了解到世界经济处于全球化，从文化角度发现了世界文化呈现多样特点，接下来，我们将从政治格局视角继续探索这个复杂的世界。</w:t>
            </w:r>
          </w:p>
          <w:p w14:paraId="6A20BC56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【任务】请同学们课后围绕“中美关系”、“中俄关系”、“中日关系”等我国对外关系，收集国际关系中有哪些事件体现合作，有哪些事件体现竞争。</w:t>
            </w:r>
          </w:p>
        </w:tc>
        <w:tc>
          <w:tcPr>
            <w:tcW w:w="1620" w:type="dxa"/>
            <w:vMerge w:val="continue"/>
          </w:tcPr>
          <w:p w14:paraId="23F2C1B0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  <w:tr w14:paraId="76018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1" w:hRule="atLeast"/>
        </w:trPr>
        <w:tc>
          <w:tcPr>
            <w:tcW w:w="1553" w:type="dxa"/>
            <w:vAlign w:val="center"/>
          </w:tcPr>
          <w:p w14:paraId="1406AA86">
            <w:pPr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板书设计</w:t>
            </w:r>
          </w:p>
        </w:tc>
        <w:tc>
          <w:tcPr>
            <w:tcW w:w="7795" w:type="dxa"/>
            <w:gridSpan w:val="2"/>
            <w:vAlign w:val="center"/>
          </w:tcPr>
          <w:p w14:paraId="0A270F12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  <w14:ligatures w14:val="non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376555</wp:posOffset>
                  </wp:positionH>
                  <wp:positionV relativeFrom="paragraph">
                    <wp:posOffset>107950</wp:posOffset>
                  </wp:positionV>
                  <wp:extent cx="3799840" cy="3238500"/>
                  <wp:effectExtent l="0" t="0" r="10160" b="7620"/>
                  <wp:wrapTopAndBottom/>
                  <wp:docPr id="3" name="图片 3" descr="fd351eac-86e7-4454-983b-23aba5ece6c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fd351eac-86e7-4454-983b-23aba5ece6c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9840" cy="323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20" w:type="dxa"/>
            <w:vMerge w:val="continue"/>
          </w:tcPr>
          <w:p w14:paraId="359EA545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2A3A049A">
      <w:pPr>
        <w:spacing w:line="280" w:lineRule="exact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3OWMyMjFjMDU1YzczN2I3ZTUzYWNlMDM3OGJmZjEifQ=="/>
  </w:docVars>
  <w:rsids>
    <w:rsidRoot w:val="00833633"/>
    <w:rsid w:val="004A7931"/>
    <w:rsid w:val="00601005"/>
    <w:rsid w:val="0075064C"/>
    <w:rsid w:val="00833633"/>
    <w:rsid w:val="00D0527B"/>
    <w:rsid w:val="00D45CCF"/>
    <w:rsid w:val="00DC64AA"/>
    <w:rsid w:val="01B03532"/>
    <w:rsid w:val="12900868"/>
    <w:rsid w:val="16B40FC8"/>
    <w:rsid w:val="179F4FAA"/>
    <w:rsid w:val="19E23FE0"/>
    <w:rsid w:val="20551D61"/>
    <w:rsid w:val="21AE0A48"/>
    <w:rsid w:val="23A747F2"/>
    <w:rsid w:val="2D857C32"/>
    <w:rsid w:val="2E0421ED"/>
    <w:rsid w:val="41950B2F"/>
    <w:rsid w:val="436C596F"/>
    <w:rsid w:val="4A9A087E"/>
    <w:rsid w:val="4E16235D"/>
    <w:rsid w:val="4E70487C"/>
    <w:rsid w:val="4EA21AFA"/>
    <w:rsid w:val="51943B02"/>
    <w:rsid w:val="539E4BBE"/>
    <w:rsid w:val="55607EBF"/>
    <w:rsid w:val="59BC3DC4"/>
    <w:rsid w:val="5C660F3E"/>
    <w:rsid w:val="5D4E346E"/>
    <w:rsid w:val="5D6808B8"/>
    <w:rsid w:val="648C714A"/>
    <w:rsid w:val="65110961"/>
    <w:rsid w:val="65E848BE"/>
    <w:rsid w:val="68FE4899"/>
    <w:rsid w:val="69C916A5"/>
    <w:rsid w:val="6A311F2B"/>
    <w:rsid w:val="6D98425A"/>
    <w:rsid w:val="76562678"/>
    <w:rsid w:val="7A2361E7"/>
    <w:rsid w:val="7BF81ADB"/>
    <w:rsid w:val="7F53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pPr>
      <w:ind w:left="120"/>
    </w:pPr>
    <w:rPr>
      <w:rFonts w:ascii="仿宋" w:hAnsi="仿宋" w:eastAsia="仿宋" w:cs="仿宋"/>
      <w:sz w:val="24"/>
      <w:szCs w:val="24"/>
    </w:rPr>
  </w:style>
  <w:style w:type="paragraph" w:styleId="3">
    <w:name w:val="toc 5"/>
    <w:basedOn w:val="1"/>
    <w:next w:val="1"/>
    <w:autoRedefine/>
    <w:qFormat/>
    <w:uiPriority w:val="0"/>
    <w:pPr>
      <w:wordWrap w:val="0"/>
      <w:spacing w:after="200" w:line="276" w:lineRule="auto"/>
      <w:ind w:left="1275"/>
    </w:pPr>
    <w:rPr>
      <w:rFonts w:ascii="宋体" w:hAnsi="宋体" w:eastAsia="Times New Roman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2112</Words>
  <Characters>2166</Characters>
  <Lines>2</Lines>
  <Paragraphs>1</Paragraphs>
  <TotalTime>9</TotalTime>
  <ScaleCrop>false</ScaleCrop>
  <LinksUpToDate>false</LinksUpToDate>
  <CharactersWithSpaces>2272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2023-10-31T08:48:00Z</dcterms:created>
  <dc:creator>小芬 周</dc:creator>
  <cp:lastModifiedBy>大考拉</cp:lastModifiedBy>
  <dcterms:modified xsi:type="dcterms:W3CDTF">2025-02-24T00:51:05Z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84C826366A764E98A7A97627C78E0869_13</vt:lpwstr>
  </property>
</Properties>
</file>